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53CC" w14:textId="2CC4455E" w:rsidR="00B33012" w:rsidRDefault="00BF3397">
      <w:pPr>
        <w:pStyle w:val="Corpsdetexte"/>
        <w:rPr>
          <w:rFonts w:ascii="Times New Roman"/>
          <w:sz w:val="46"/>
        </w:rPr>
      </w:pPr>
      <w:r>
        <w:rPr>
          <w:noProof/>
        </w:rPr>
        <w:drawing>
          <wp:anchor distT="0" distB="0" distL="114300" distR="114300" simplePos="0" relativeHeight="251659264" behindDoc="0" locked="0" layoutInCell="1" allowOverlap="1" wp14:anchorId="24C6FED2" wp14:editId="78F9D6EA">
            <wp:simplePos x="0" y="0"/>
            <wp:positionH relativeFrom="margin">
              <wp:posOffset>1645920</wp:posOffset>
            </wp:positionH>
            <wp:positionV relativeFrom="margin">
              <wp:posOffset>202277</wp:posOffset>
            </wp:positionV>
            <wp:extent cx="2476500" cy="885825"/>
            <wp:effectExtent l="0" t="0" r="0" b="9525"/>
            <wp:wrapSquare wrapText="bothSides"/>
            <wp:docPr id="1223271308" name="Image 1" descr="Rechargez votre voiture électrique - ENGIE Vianeo">
              <a:extLst xmlns:a="http://schemas.openxmlformats.org/drawingml/2006/main">
                <a:ext uri="{FF2B5EF4-FFF2-40B4-BE49-F238E27FC236}">
                  <a16:creationId xmlns:a16="http://schemas.microsoft.com/office/drawing/2014/main" id="{8E29950C-DC50-40C2-956F-44054E15D2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hargez votre voiture électrique - ENGIE Viane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2B53CD" w14:textId="17442821" w:rsidR="00B33012" w:rsidRDefault="00B33012" w:rsidP="00BF3397">
      <w:pPr>
        <w:pStyle w:val="Corpsdetexte"/>
        <w:spacing w:before="242"/>
        <w:jc w:val="center"/>
        <w:rPr>
          <w:rFonts w:ascii="Times New Roman"/>
          <w:sz w:val="46"/>
        </w:rPr>
      </w:pPr>
    </w:p>
    <w:p w14:paraId="202B53D0" w14:textId="77777777" w:rsidR="00B33012" w:rsidRDefault="00B33012">
      <w:pPr>
        <w:pStyle w:val="Corpsdetexte"/>
        <w:rPr>
          <w:color w:val="4A86E7"/>
        </w:rPr>
      </w:pPr>
      <w:bookmarkStart w:id="0" w:name="Press_Release_"/>
      <w:bookmarkEnd w:id="0"/>
    </w:p>
    <w:p w14:paraId="42E383AC" w14:textId="77777777" w:rsidR="00BF3397" w:rsidRDefault="00BF3397">
      <w:pPr>
        <w:pStyle w:val="Corpsdetexte"/>
        <w:rPr>
          <w:color w:val="4A86E7"/>
        </w:rPr>
      </w:pPr>
    </w:p>
    <w:p w14:paraId="081897F7" w14:textId="77777777" w:rsidR="00BF3397" w:rsidRDefault="00BF3397">
      <w:pPr>
        <w:pStyle w:val="Corpsdetexte"/>
      </w:pPr>
    </w:p>
    <w:p w14:paraId="202B53D1" w14:textId="2D0CC8EB" w:rsidR="00B33012" w:rsidRDefault="00411A4B" w:rsidP="00D95B19">
      <w:pPr>
        <w:pStyle w:val="Corpsdetexte"/>
        <w:spacing w:after="240"/>
        <w:ind w:right="581"/>
        <w:jc w:val="right"/>
      </w:pPr>
      <w:r>
        <w:rPr>
          <w:rFonts w:eastAsia="Calibri"/>
          <w:color w:val="00AAFF"/>
        </w:rPr>
        <w:t>P</w:t>
      </w:r>
      <w:r w:rsidR="00A964C4">
        <w:rPr>
          <w:rFonts w:eastAsia="Calibri"/>
          <w:color w:val="00AAFF"/>
        </w:rPr>
        <w:t>RESS RELEASE</w:t>
      </w:r>
    </w:p>
    <w:p w14:paraId="202B53D2" w14:textId="77777777" w:rsidR="00B33012" w:rsidRDefault="00B33012" w:rsidP="00D95B19">
      <w:pPr>
        <w:pStyle w:val="Corpsdetexte"/>
        <w:spacing w:before="50"/>
        <w:ind w:right="581"/>
      </w:pPr>
    </w:p>
    <w:p w14:paraId="202B53D3" w14:textId="77777777" w:rsidR="00B33012" w:rsidRPr="00860FAF" w:rsidRDefault="00000000" w:rsidP="00D95B19">
      <w:pPr>
        <w:pStyle w:val="Titre2"/>
        <w:spacing w:line="276" w:lineRule="auto"/>
        <w:ind w:left="2123" w:right="581" w:hanging="1557"/>
        <w:rPr>
          <w:rFonts w:eastAsia="Calibri"/>
          <w:color w:val="00AAFF"/>
          <w:kern w:val="2"/>
          <w:sz w:val="28"/>
          <w:szCs w:val="28"/>
          <w:lang w:val="fr-FR"/>
          <w14:ligatures w14:val="standardContextual"/>
        </w:rPr>
      </w:pPr>
      <w:r w:rsidRPr="00860FAF">
        <w:rPr>
          <w:rFonts w:eastAsia="Calibri"/>
          <w:color w:val="00AAFF"/>
          <w:kern w:val="2"/>
          <w:sz w:val="28"/>
          <w:szCs w:val="28"/>
          <w:lang w:val="fr-FR"/>
          <w14:ligatures w14:val="standardContextual"/>
        </w:rPr>
        <w:t>ENGIE Vianeo and Windrose forge a decisive partnership for the decarbonization of heavy-duty mobility</w:t>
      </w:r>
    </w:p>
    <w:p w14:paraId="202B53D4" w14:textId="77777777" w:rsidR="00B33012" w:rsidRPr="00224D92" w:rsidRDefault="00000000" w:rsidP="00D95B19">
      <w:pPr>
        <w:pStyle w:val="Paragraphedeliste"/>
        <w:numPr>
          <w:ilvl w:val="0"/>
          <w:numId w:val="2"/>
        </w:numPr>
        <w:tabs>
          <w:tab w:val="left" w:pos="743"/>
        </w:tabs>
        <w:spacing w:before="240" w:line="276" w:lineRule="auto"/>
        <w:ind w:right="581"/>
        <w:rPr>
          <w:rFonts w:eastAsia="Times New Roman"/>
          <w:b/>
          <w:bCs/>
          <w:color w:val="777777"/>
          <w:lang w:val="fr-FR" w:eastAsia="fr-FR"/>
        </w:rPr>
      </w:pPr>
      <w:r w:rsidRPr="00224D92">
        <w:rPr>
          <w:rFonts w:eastAsia="Times New Roman"/>
          <w:b/>
          <w:bCs/>
          <w:color w:val="777777"/>
          <w:lang w:val="fr-FR" w:eastAsia="fr-FR"/>
        </w:rPr>
        <w:t>ENGIE Vianeo and Windrose are joining forces to accelerate the transition of heavy goods vehicles to electric power and the decarbonization of freight transport.</w:t>
      </w:r>
    </w:p>
    <w:p w14:paraId="202B53D5" w14:textId="77777777" w:rsidR="00B33012" w:rsidRPr="00224D92" w:rsidRDefault="00000000" w:rsidP="00D95B19">
      <w:pPr>
        <w:pStyle w:val="Paragraphedeliste"/>
        <w:numPr>
          <w:ilvl w:val="0"/>
          <w:numId w:val="2"/>
        </w:numPr>
        <w:tabs>
          <w:tab w:val="left" w:pos="743"/>
        </w:tabs>
        <w:spacing w:line="276" w:lineRule="auto"/>
        <w:ind w:right="581"/>
        <w:rPr>
          <w:rFonts w:eastAsia="Times New Roman"/>
          <w:b/>
          <w:bCs/>
          <w:color w:val="777777"/>
          <w:lang w:val="fr-FR" w:eastAsia="fr-FR"/>
        </w:rPr>
      </w:pPr>
      <w:r w:rsidRPr="00224D92">
        <w:rPr>
          <w:rFonts w:eastAsia="Times New Roman"/>
          <w:b/>
          <w:bCs/>
          <w:color w:val="777777"/>
          <w:lang w:val="fr-FR" w:eastAsia="fr-FR"/>
        </w:rPr>
        <w:t xml:space="preserve">This strategic alliance aims to facilitate the charging of the Windrose fleet both on ENGIE </w:t>
      </w:r>
      <w:proofErr w:type="spellStart"/>
      <w:r w:rsidRPr="00224D92">
        <w:rPr>
          <w:rFonts w:eastAsia="Times New Roman"/>
          <w:b/>
          <w:bCs/>
          <w:color w:val="777777"/>
          <w:lang w:val="fr-FR" w:eastAsia="fr-FR"/>
        </w:rPr>
        <w:t>Vianeo’s</w:t>
      </w:r>
      <w:proofErr w:type="spellEnd"/>
      <w:r w:rsidRPr="00224D92">
        <w:rPr>
          <w:rFonts w:eastAsia="Times New Roman"/>
          <w:b/>
          <w:bCs/>
          <w:color w:val="777777"/>
          <w:lang w:val="fr-FR" w:eastAsia="fr-FR"/>
        </w:rPr>
        <w:t xml:space="preserve"> public network and depot charging developed in partnership with Windrose.</w:t>
      </w:r>
    </w:p>
    <w:p w14:paraId="202B53D8" w14:textId="11A7498A" w:rsidR="00B33012" w:rsidRPr="009E723F" w:rsidRDefault="00000000" w:rsidP="0092321F">
      <w:pPr>
        <w:pStyle w:val="Paragraphedeliste"/>
        <w:numPr>
          <w:ilvl w:val="0"/>
          <w:numId w:val="2"/>
        </w:numPr>
        <w:tabs>
          <w:tab w:val="left" w:pos="743"/>
        </w:tabs>
        <w:spacing w:after="120" w:line="276" w:lineRule="auto"/>
        <w:ind w:right="578" w:hanging="357"/>
        <w:rPr>
          <w:rFonts w:eastAsia="Times New Roman"/>
          <w:b/>
          <w:bCs/>
          <w:color w:val="777777"/>
          <w:lang w:val="fr-FR" w:eastAsia="fr-FR"/>
        </w:rPr>
      </w:pPr>
      <w:r w:rsidRPr="00224D92">
        <w:rPr>
          <w:rFonts w:eastAsia="Times New Roman"/>
          <w:b/>
          <w:bCs/>
          <w:color w:val="777777"/>
          <w:lang w:val="fr-FR" w:eastAsia="fr-FR"/>
        </w:rPr>
        <w:t xml:space="preserve">The two players are laying the foundations for an industrial model combining </w:t>
      </w:r>
      <w:proofErr w:type="gramStart"/>
      <w:r w:rsidRPr="00224D92">
        <w:rPr>
          <w:rFonts w:eastAsia="Times New Roman"/>
          <w:b/>
          <w:bCs/>
          <w:color w:val="777777"/>
          <w:lang w:val="fr-FR" w:eastAsia="fr-FR"/>
        </w:rPr>
        <w:t>a</w:t>
      </w:r>
      <w:proofErr w:type="gramEnd"/>
      <w:r w:rsidRPr="00224D92">
        <w:rPr>
          <w:rFonts w:eastAsia="Times New Roman"/>
          <w:b/>
          <w:bCs/>
          <w:color w:val="777777"/>
          <w:lang w:val="fr-FR" w:eastAsia="fr-FR"/>
        </w:rPr>
        <w:t xml:space="preserve"> manufacturer and a charging operator to serve the massive electrification of long-distance </w:t>
      </w:r>
      <w:proofErr w:type="spellStart"/>
      <w:r w:rsidRPr="00224D92">
        <w:rPr>
          <w:rFonts w:eastAsia="Times New Roman"/>
          <w:b/>
          <w:bCs/>
          <w:color w:val="777777"/>
          <w:lang w:val="fr-FR" w:eastAsia="fr-FR"/>
        </w:rPr>
        <w:t>heavy</w:t>
      </w:r>
      <w:proofErr w:type="spellEnd"/>
      <w:r w:rsidRPr="00224D92">
        <w:rPr>
          <w:rFonts w:eastAsia="Times New Roman"/>
          <w:b/>
          <w:bCs/>
          <w:color w:val="777777"/>
          <w:lang w:val="fr-FR" w:eastAsia="fr-FR"/>
        </w:rPr>
        <w:t xml:space="preserve"> transport.</w:t>
      </w:r>
    </w:p>
    <w:p w14:paraId="202B53D9" w14:textId="77777777" w:rsidR="00B33012" w:rsidRDefault="00B33012">
      <w:pPr>
        <w:pStyle w:val="Corpsdetexte"/>
        <w:spacing w:before="12"/>
      </w:pPr>
    </w:p>
    <w:p w14:paraId="202B53DA" w14:textId="77777777" w:rsidR="00B33012" w:rsidRPr="0092321F" w:rsidRDefault="00000000" w:rsidP="0092321F">
      <w:pPr>
        <w:pStyle w:val="Titre2"/>
        <w:rPr>
          <w:rFonts w:eastAsia="Calibri"/>
          <w:color w:val="00AAFF"/>
          <w:kern w:val="2"/>
          <w:sz w:val="22"/>
          <w:szCs w:val="22"/>
          <w14:ligatures w14:val="standardContextual"/>
        </w:rPr>
      </w:pPr>
      <w:r w:rsidRPr="0092321F">
        <w:rPr>
          <w:rFonts w:eastAsia="Calibri"/>
          <w:color w:val="00AAFF"/>
          <w:kern w:val="2"/>
          <w:sz w:val="22"/>
          <w:szCs w:val="22"/>
          <w14:ligatures w14:val="standardContextual"/>
        </w:rPr>
        <w:t>Making electric heavy goods vehicles an economically viable alternative</w:t>
      </w:r>
    </w:p>
    <w:p w14:paraId="202B53DB" w14:textId="77777777" w:rsidR="00B33012" w:rsidRPr="00D95B19" w:rsidRDefault="00000000" w:rsidP="0092321F">
      <w:pPr>
        <w:pStyle w:val="Corpsdetexte"/>
        <w:spacing w:before="285" w:line="276" w:lineRule="auto"/>
        <w:ind w:right="581"/>
        <w:jc w:val="both"/>
        <w:rPr>
          <w:color w:val="777777"/>
        </w:rPr>
      </w:pPr>
      <w:r w:rsidRPr="00D95B19">
        <w:rPr>
          <w:color w:val="777777"/>
        </w:rPr>
        <w:t>ENGIE</w:t>
      </w:r>
      <w:r w:rsidRPr="00D95B19">
        <w:rPr>
          <w:color w:val="777777"/>
          <w:spacing w:val="-5"/>
        </w:rPr>
        <w:t xml:space="preserve"> </w:t>
      </w:r>
      <w:r w:rsidRPr="00D95B19">
        <w:rPr>
          <w:color w:val="777777"/>
        </w:rPr>
        <w:t>Vianeo</w:t>
      </w:r>
      <w:r w:rsidRPr="00D95B19">
        <w:rPr>
          <w:color w:val="777777"/>
          <w:spacing w:val="-5"/>
        </w:rPr>
        <w:t xml:space="preserve"> </w:t>
      </w:r>
      <w:r w:rsidRPr="00D95B19">
        <w:rPr>
          <w:color w:val="777777"/>
        </w:rPr>
        <w:t>and</w:t>
      </w:r>
      <w:r w:rsidRPr="00D95B19">
        <w:rPr>
          <w:color w:val="777777"/>
          <w:spacing w:val="-5"/>
        </w:rPr>
        <w:t xml:space="preserve"> </w:t>
      </w:r>
      <w:r w:rsidRPr="00D95B19">
        <w:rPr>
          <w:color w:val="777777"/>
        </w:rPr>
        <w:t>Windrose,</w:t>
      </w:r>
      <w:r w:rsidRPr="00D95B19">
        <w:rPr>
          <w:color w:val="777777"/>
          <w:spacing w:val="-5"/>
        </w:rPr>
        <w:t xml:space="preserve"> </w:t>
      </w:r>
      <w:r w:rsidRPr="00D95B19">
        <w:rPr>
          <w:color w:val="777777"/>
        </w:rPr>
        <w:t>an</w:t>
      </w:r>
      <w:r w:rsidRPr="00D95B19">
        <w:rPr>
          <w:color w:val="777777"/>
          <w:spacing w:val="-5"/>
        </w:rPr>
        <w:t xml:space="preserve"> </w:t>
      </w:r>
      <w:r w:rsidRPr="00D95B19">
        <w:rPr>
          <w:color w:val="777777"/>
        </w:rPr>
        <w:t>electric</w:t>
      </w:r>
      <w:r w:rsidRPr="00D95B19">
        <w:rPr>
          <w:color w:val="777777"/>
          <w:spacing w:val="-5"/>
        </w:rPr>
        <w:t xml:space="preserve"> </w:t>
      </w:r>
      <w:r w:rsidRPr="00D95B19">
        <w:rPr>
          <w:color w:val="777777"/>
        </w:rPr>
        <w:t>truck</w:t>
      </w:r>
      <w:r w:rsidRPr="00D95B19">
        <w:rPr>
          <w:color w:val="777777"/>
          <w:spacing w:val="-5"/>
        </w:rPr>
        <w:t xml:space="preserve"> </w:t>
      </w:r>
      <w:r w:rsidRPr="00D95B19">
        <w:rPr>
          <w:color w:val="777777"/>
        </w:rPr>
        <w:t>manufacturer,</w:t>
      </w:r>
      <w:r w:rsidRPr="00D95B19">
        <w:rPr>
          <w:color w:val="777777"/>
          <w:spacing w:val="-5"/>
        </w:rPr>
        <w:t xml:space="preserve"> </w:t>
      </w:r>
      <w:r w:rsidRPr="00D95B19">
        <w:rPr>
          <w:color w:val="777777"/>
        </w:rPr>
        <w:t>have</w:t>
      </w:r>
      <w:r w:rsidRPr="00D95B19">
        <w:rPr>
          <w:color w:val="777777"/>
          <w:spacing w:val="-5"/>
        </w:rPr>
        <w:t xml:space="preserve"> </w:t>
      </w:r>
      <w:r w:rsidRPr="00D95B19">
        <w:rPr>
          <w:color w:val="777777"/>
        </w:rPr>
        <w:t>signed</w:t>
      </w:r>
      <w:r w:rsidRPr="00D95B19">
        <w:rPr>
          <w:color w:val="777777"/>
          <w:spacing w:val="-5"/>
        </w:rPr>
        <w:t xml:space="preserve"> </w:t>
      </w:r>
      <w:r w:rsidRPr="00D95B19">
        <w:rPr>
          <w:color w:val="777777"/>
        </w:rPr>
        <w:t>a</w:t>
      </w:r>
      <w:r w:rsidRPr="00D95B19">
        <w:rPr>
          <w:color w:val="777777"/>
          <w:spacing w:val="-5"/>
        </w:rPr>
        <w:t xml:space="preserve"> </w:t>
      </w:r>
      <w:r w:rsidRPr="00D95B19">
        <w:rPr>
          <w:color w:val="777777"/>
        </w:rPr>
        <w:t>volume</w:t>
      </w:r>
      <w:r w:rsidRPr="00D95B19">
        <w:rPr>
          <w:color w:val="777777"/>
          <w:spacing w:val="-5"/>
        </w:rPr>
        <w:t xml:space="preserve"> </w:t>
      </w:r>
      <w:r w:rsidRPr="00D95B19">
        <w:rPr>
          <w:color w:val="777777"/>
        </w:rPr>
        <w:t>contract aimed at facilitating access for the Windrose fleet to the public charging stations of the ENGIE Vianeo network for a defined quantity of energy, over a specific period, and at a preferential rate. The Windrose truck fleet can notably rely on the five charging stations deployed on the ENGIE Vianeo Lyon-Paris corridor, a major logistics axis in France and on stations currently being deployed in key logistics areas.</w:t>
      </w:r>
    </w:p>
    <w:p w14:paraId="202B53DC" w14:textId="77777777" w:rsidR="00B33012" w:rsidRPr="00D95B19" w:rsidRDefault="00000000" w:rsidP="00D95B19">
      <w:pPr>
        <w:pStyle w:val="Corpsdetexte"/>
        <w:spacing w:before="240" w:line="276" w:lineRule="auto"/>
        <w:ind w:left="23" w:right="367"/>
        <w:jc w:val="both"/>
        <w:rPr>
          <w:color w:val="777777"/>
        </w:rPr>
      </w:pPr>
      <w:r w:rsidRPr="00D95B19">
        <w:rPr>
          <w:color w:val="777777"/>
        </w:rPr>
        <w:t xml:space="preserve">By optimizing the price per kWh compared to the cost per kilometer driven with diesel, this partnership aims to ensure the profitability of fleet electrification with an operational cost lower than that of diesel energy. For </w:t>
      </w:r>
      <w:proofErr w:type="spellStart"/>
      <w:r w:rsidRPr="00D95B19">
        <w:rPr>
          <w:color w:val="777777"/>
        </w:rPr>
        <w:t>hauliers</w:t>
      </w:r>
      <w:proofErr w:type="spellEnd"/>
      <w:r w:rsidRPr="00D95B19">
        <w:rPr>
          <w:color w:val="777777"/>
        </w:rPr>
        <w:t>, this translates into better control of operating costs</w:t>
      </w:r>
      <w:r w:rsidRPr="00D95B19">
        <w:rPr>
          <w:color w:val="777777"/>
          <w:spacing w:val="-5"/>
        </w:rPr>
        <w:t xml:space="preserve"> </w:t>
      </w:r>
      <w:r w:rsidRPr="00D95B19">
        <w:rPr>
          <w:color w:val="777777"/>
        </w:rPr>
        <w:t>and</w:t>
      </w:r>
      <w:r w:rsidRPr="00D95B19">
        <w:rPr>
          <w:color w:val="777777"/>
          <w:spacing w:val="-5"/>
        </w:rPr>
        <w:t xml:space="preserve"> </w:t>
      </w:r>
      <w:r w:rsidRPr="00D95B19">
        <w:rPr>
          <w:color w:val="777777"/>
        </w:rPr>
        <w:t>a</w:t>
      </w:r>
      <w:r w:rsidRPr="00D95B19">
        <w:rPr>
          <w:color w:val="777777"/>
          <w:spacing w:val="-5"/>
        </w:rPr>
        <w:t xml:space="preserve"> </w:t>
      </w:r>
      <w:r w:rsidRPr="00D95B19">
        <w:rPr>
          <w:color w:val="777777"/>
        </w:rPr>
        <w:t>reduction</w:t>
      </w:r>
      <w:r w:rsidRPr="00D95B19">
        <w:rPr>
          <w:color w:val="777777"/>
          <w:spacing w:val="-5"/>
        </w:rPr>
        <w:t xml:space="preserve"> </w:t>
      </w:r>
      <w:r w:rsidRPr="00D95B19">
        <w:rPr>
          <w:color w:val="777777"/>
        </w:rPr>
        <w:t>in</w:t>
      </w:r>
      <w:r w:rsidRPr="00D95B19">
        <w:rPr>
          <w:color w:val="777777"/>
          <w:spacing w:val="-5"/>
        </w:rPr>
        <w:t xml:space="preserve"> </w:t>
      </w:r>
      <w:r w:rsidRPr="00D95B19">
        <w:rPr>
          <w:color w:val="777777"/>
        </w:rPr>
        <w:t>risks</w:t>
      </w:r>
      <w:r w:rsidRPr="00D95B19">
        <w:rPr>
          <w:color w:val="777777"/>
          <w:spacing w:val="-5"/>
        </w:rPr>
        <w:t xml:space="preserve"> </w:t>
      </w:r>
      <w:r w:rsidRPr="00D95B19">
        <w:rPr>
          <w:color w:val="777777"/>
        </w:rPr>
        <w:t>related</w:t>
      </w:r>
      <w:r w:rsidRPr="00D95B19">
        <w:rPr>
          <w:color w:val="777777"/>
          <w:spacing w:val="-5"/>
        </w:rPr>
        <w:t xml:space="preserve"> </w:t>
      </w:r>
      <w:r w:rsidRPr="00D95B19">
        <w:rPr>
          <w:color w:val="777777"/>
        </w:rPr>
        <w:t>to</w:t>
      </w:r>
      <w:r w:rsidRPr="00D95B19">
        <w:rPr>
          <w:color w:val="777777"/>
          <w:spacing w:val="-5"/>
        </w:rPr>
        <w:t xml:space="preserve"> </w:t>
      </w:r>
      <w:r w:rsidRPr="00D95B19">
        <w:rPr>
          <w:color w:val="777777"/>
        </w:rPr>
        <w:t>energy</w:t>
      </w:r>
      <w:r w:rsidRPr="00D95B19">
        <w:rPr>
          <w:color w:val="777777"/>
          <w:spacing w:val="-5"/>
        </w:rPr>
        <w:t xml:space="preserve"> </w:t>
      </w:r>
      <w:r w:rsidRPr="00D95B19">
        <w:rPr>
          <w:color w:val="777777"/>
        </w:rPr>
        <w:t>price</w:t>
      </w:r>
      <w:r w:rsidRPr="00D95B19">
        <w:rPr>
          <w:color w:val="777777"/>
          <w:spacing w:val="-5"/>
        </w:rPr>
        <w:t xml:space="preserve"> </w:t>
      </w:r>
      <w:r w:rsidRPr="00D95B19">
        <w:rPr>
          <w:color w:val="777777"/>
        </w:rPr>
        <w:t>volatility.</w:t>
      </w:r>
      <w:r w:rsidRPr="00D95B19">
        <w:rPr>
          <w:color w:val="777777"/>
          <w:spacing w:val="-5"/>
        </w:rPr>
        <w:t xml:space="preserve"> </w:t>
      </w:r>
      <w:r w:rsidRPr="00D95B19">
        <w:rPr>
          <w:color w:val="777777"/>
        </w:rPr>
        <w:t>This</w:t>
      </w:r>
      <w:r w:rsidRPr="00D95B19">
        <w:rPr>
          <w:color w:val="777777"/>
          <w:spacing w:val="-5"/>
        </w:rPr>
        <w:t xml:space="preserve"> </w:t>
      </w:r>
      <w:r w:rsidRPr="00D95B19">
        <w:rPr>
          <w:color w:val="777777"/>
        </w:rPr>
        <w:t>win-win</w:t>
      </w:r>
      <w:r w:rsidRPr="00D95B19">
        <w:rPr>
          <w:color w:val="777777"/>
          <w:spacing w:val="-5"/>
        </w:rPr>
        <w:t xml:space="preserve"> </w:t>
      </w:r>
      <w:r w:rsidRPr="00D95B19">
        <w:rPr>
          <w:color w:val="777777"/>
        </w:rPr>
        <w:t>operating</w:t>
      </w:r>
      <w:r w:rsidRPr="00D95B19">
        <w:rPr>
          <w:color w:val="777777"/>
          <w:spacing w:val="-5"/>
        </w:rPr>
        <w:t xml:space="preserve"> </w:t>
      </w:r>
      <w:r w:rsidRPr="00D95B19">
        <w:rPr>
          <w:color w:val="777777"/>
        </w:rPr>
        <w:t xml:space="preserve">model for the </w:t>
      </w:r>
      <w:proofErr w:type="spellStart"/>
      <w:r w:rsidRPr="00D95B19">
        <w:rPr>
          <w:color w:val="777777"/>
        </w:rPr>
        <w:t>haulier</w:t>
      </w:r>
      <w:proofErr w:type="spellEnd"/>
      <w:r w:rsidRPr="00D95B19">
        <w:rPr>
          <w:color w:val="777777"/>
        </w:rPr>
        <w:t>, the manufacturer, and the charging operator removes one of the main barriers to the large-scale adoption of low-carbon heavy goods vehicles.</w:t>
      </w:r>
    </w:p>
    <w:p w14:paraId="202B53DD" w14:textId="77777777" w:rsidR="00B33012" w:rsidRPr="00D95B19" w:rsidRDefault="00000000" w:rsidP="0092321F">
      <w:pPr>
        <w:pStyle w:val="Titre2"/>
        <w:spacing w:before="240" w:after="120"/>
        <w:rPr>
          <w:rFonts w:eastAsia="Calibri"/>
          <w:color w:val="00AAFF"/>
          <w:kern w:val="2"/>
          <w:sz w:val="22"/>
          <w:szCs w:val="22"/>
          <w:lang w:val="fr-FR"/>
          <w14:ligatures w14:val="standardContextual"/>
        </w:rPr>
      </w:pPr>
      <w:r w:rsidRPr="00D95B19">
        <w:rPr>
          <w:rFonts w:eastAsia="Calibri"/>
          <w:color w:val="00AAFF"/>
          <w:kern w:val="2"/>
          <w:sz w:val="22"/>
          <w:szCs w:val="22"/>
          <w:lang w:val="fr-FR"/>
          <w14:ligatures w14:val="standardContextual"/>
        </w:rPr>
        <w:t>Structuring an ultra-high-power European network</w:t>
      </w:r>
    </w:p>
    <w:p w14:paraId="202B53DE" w14:textId="77777777" w:rsidR="00B33012" w:rsidRPr="00D95B19" w:rsidRDefault="00000000" w:rsidP="00D95B19">
      <w:pPr>
        <w:pStyle w:val="Corpsdetexte"/>
        <w:spacing w:before="285" w:line="276" w:lineRule="auto"/>
        <w:ind w:left="23" w:right="581"/>
        <w:jc w:val="both"/>
        <w:rPr>
          <w:color w:val="777777"/>
        </w:rPr>
      </w:pPr>
      <w:r w:rsidRPr="00D95B19">
        <w:rPr>
          <w:color w:val="777777"/>
        </w:rPr>
        <w:t>The electrification of long-distance transport requires a dense, reliable network sized for considerable energy needs. Together, ENGIE Vianeo and Windrose are participating in the deployment of ultra-fast charging in Europe, particularly in France, Belgium, Germany, and Spain.</w:t>
      </w:r>
    </w:p>
    <w:p w14:paraId="202B53DF" w14:textId="77777777" w:rsidR="00B33012" w:rsidRPr="00D95B19" w:rsidRDefault="00000000" w:rsidP="00D95B19">
      <w:pPr>
        <w:pStyle w:val="Corpsdetexte"/>
        <w:spacing w:before="240" w:line="276" w:lineRule="auto"/>
        <w:ind w:left="23" w:right="581"/>
        <w:jc w:val="both"/>
        <w:rPr>
          <w:color w:val="777777"/>
        </w:rPr>
      </w:pPr>
      <w:r w:rsidRPr="00D95B19">
        <w:rPr>
          <w:color w:val="777777"/>
        </w:rPr>
        <w:t xml:space="preserve">The partnership also covers the deployment of new public stations in partnership, notably in </w:t>
      </w:r>
      <w:proofErr w:type="spellStart"/>
      <w:r w:rsidRPr="00D95B19">
        <w:rPr>
          <w:color w:val="777777"/>
        </w:rPr>
        <w:t>Onnaing</w:t>
      </w:r>
      <w:proofErr w:type="spellEnd"/>
      <w:r w:rsidRPr="00D95B19">
        <w:rPr>
          <w:color w:val="777777"/>
        </w:rPr>
        <w:t>, near Valenciennes, where Windrose will open a nearly 100,000 m² factory in 2027. This site is intended to become the largest charging hub for heavy goods vehicles in Europe,</w:t>
      </w:r>
    </w:p>
    <w:p w14:paraId="202B53E0" w14:textId="77777777" w:rsidR="00B33012" w:rsidRPr="00D95B19" w:rsidRDefault="00B33012" w:rsidP="00D95B19">
      <w:pPr>
        <w:pStyle w:val="Corpsdetexte"/>
        <w:spacing w:line="276" w:lineRule="auto"/>
        <w:ind w:right="581"/>
        <w:jc w:val="both"/>
        <w:rPr>
          <w:color w:val="777777"/>
        </w:rPr>
        <w:sectPr w:rsidR="00B33012" w:rsidRPr="00D95B19">
          <w:type w:val="continuous"/>
          <w:pgSz w:w="11920" w:h="16840"/>
          <w:pgMar w:top="620" w:right="1133" w:bottom="280" w:left="1417" w:header="720" w:footer="720" w:gutter="0"/>
          <w:cols w:space="720"/>
        </w:sectPr>
      </w:pPr>
    </w:p>
    <w:p w14:paraId="202B53E3" w14:textId="68771888" w:rsidR="00B33012" w:rsidRPr="00D95B19" w:rsidRDefault="00000000" w:rsidP="00D95B19">
      <w:pPr>
        <w:pStyle w:val="Corpsdetexte"/>
        <w:spacing w:before="80" w:line="276" w:lineRule="auto"/>
        <w:ind w:left="23" w:right="581"/>
        <w:jc w:val="both"/>
        <w:rPr>
          <w:color w:val="777777"/>
        </w:rPr>
      </w:pPr>
      <w:r w:rsidRPr="00D95B19">
        <w:rPr>
          <w:color w:val="777777"/>
        </w:rPr>
        <w:lastRenderedPageBreak/>
        <w:t xml:space="preserve">where trucks can recharge using on-site ENGIE Vianeo stations. This project is part of an approach to manufacture electric trucks in Europe. The site's location, situated 15 km from Belgium and in direct proximity to the A2 and A23 motorways, will make it a strategic logistics node linking Lille, Brussels, and Paris. ENGIE </w:t>
      </w:r>
      <w:proofErr w:type="spellStart"/>
      <w:r w:rsidRPr="00D95B19">
        <w:rPr>
          <w:color w:val="777777"/>
        </w:rPr>
        <w:t>Vianeo's</w:t>
      </w:r>
      <w:proofErr w:type="spellEnd"/>
      <w:r w:rsidRPr="00D95B19">
        <w:rPr>
          <w:color w:val="777777"/>
        </w:rPr>
        <w:t xml:space="preserve"> recent establishment in Germany, particularly at the Port of Kiel logistics hub, will also serve these ambitions.</w:t>
      </w:r>
    </w:p>
    <w:p w14:paraId="202B53E4" w14:textId="77777777" w:rsidR="00B33012" w:rsidRDefault="00B33012" w:rsidP="00D95B19">
      <w:pPr>
        <w:pStyle w:val="Corpsdetexte"/>
        <w:spacing w:before="11"/>
        <w:ind w:right="581"/>
      </w:pPr>
    </w:p>
    <w:p w14:paraId="202B53E5" w14:textId="77777777" w:rsidR="00B33012" w:rsidRPr="00D95B19" w:rsidRDefault="00000000" w:rsidP="00D95B19">
      <w:pPr>
        <w:pStyle w:val="Titre2"/>
        <w:spacing w:before="1"/>
        <w:ind w:right="581"/>
        <w:rPr>
          <w:rFonts w:eastAsia="Calibri"/>
          <w:color w:val="00AAFF"/>
          <w:kern w:val="2"/>
          <w:sz w:val="22"/>
          <w:szCs w:val="22"/>
          <w:lang w:val="fr-FR"/>
          <w14:ligatures w14:val="standardContextual"/>
        </w:rPr>
      </w:pPr>
      <w:r w:rsidRPr="00D95B19">
        <w:rPr>
          <w:rFonts w:eastAsia="Calibri"/>
          <w:color w:val="00AAFF"/>
          <w:kern w:val="2"/>
          <w:sz w:val="22"/>
          <w:szCs w:val="22"/>
          <w:lang w:val="fr-FR"/>
          <w14:ligatures w14:val="standardContextual"/>
        </w:rPr>
        <w:t>Anticipating the standardization of megawatt charging</w:t>
      </w:r>
    </w:p>
    <w:p w14:paraId="202B53E6" w14:textId="77777777" w:rsidR="00B33012" w:rsidRPr="00D95B19" w:rsidRDefault="00000000" w:rsidP="00D95B19">
      <w:pPr>
        <w:pStyle w:val="Corpsdetexte"/>
        <w:spacing w:before="285" w:line="276" w:lineRule="auto"/>
        <w:ind w:left="23" w:right="581"/>
        <w:jc w:val="both"/>
        <w:rPr>
          <w:color w:val="777777"/>
        </w:rPr>
      </w:pPr>
      <w:r w:rsidRPr="00D95B19">
        <w:rPr>
          <w:color w:val="777777"/>
        </w:rPr>
        <w:t>The collaboration between ENGIE Vianeo and Windrose involves a significant technological component to anticipate the increase in power of charging stations and the standardization of the MCS (Megawatt Charging System) standard. The joint deployment of CCS (Combined Charging System) and MCS standards will ensure the compatibility of Windrose trucks with both technologies, allowing for the immediate use of existing CCS infrastructure while preparing for the gradual arrival of megawatt charging.</w:t>
      </w:r>
    </w:p>
    <w:p w14:paraId="202B53E7" w14:textId="77777777" w:rsidR="00B33012" w:rsidRPr="00D95B19" w:rsidRDefault="00000000" w:rsidP="00D95B19">
      <w:pPr>
        <w:pStyle w:val="Corpsdetexte"/>
        <w:spacing w:before="240" w:line="276" w:lineRule="auto"/>
        <w:ind w:left="23" w:right="581"/>
        <w:jc w:val="both"/>
        <w:rPr>
          <w:color w:val="777777"/>
        </w:rPr>
      </w:pPr>
      <w:r w:rsidRPr="00D95B19">
        <w:rPr>
          <w:color w:val="777777"/>
        </w:rPr>
        <w:t>By integrating this new standard into their industrial strategy now, the two partners are securing the performance of long-distance electric fleets and helping to structure European standards for electric road transport. Finally, R&amp;D work will be conducted to prepare for future technological evolutions in electric charging.</w:t>
      </w:r>
    </w:p>
    <w:p w14:paraId="202B53E8" w14:textId="14D0047D" w:rsidR="00B33012" w:rsidRPr="00D95B19" w:rsidRDefault="00000000" w:rsidP="00D95B19">
      <w:pPr>
        <w:pStyle w:val="Corpsdetexte"/>
        <w:spacing w:before="240" w:line="276" w:lineRule="auto"/>
        <w:ind w:right="581"/>
        <w:jc w:val="both"/>
        <w:rPr>
          <w:color w:val="777777"/>
        </w:rPr>
      </w:pPr>
      <w:r w:rsidRPr="00D95B19">
        <w:rPr>
          <w:color w:val="777777"/>
        </w:rPr>
        <w:t>"</w:t>
      </w:r>
      <w:r w:rsidRPr="00D95B19">
        <w:rPr>
          <w:i/>
          <w:iCs/>
          <w:color w:val="777777"/>
        </w:rPr>
        <w:t xml:space="preserve">The decarbonization of heavy mobility is one of the greatest climate challenges in Europe. With this partnership, we are moving from </w:t>
      </w:r>
      <w:proofErr w:type="gramStart"/>
      <w:r w:rsidRPr="00D95B19">
        <w:rPr>
          <w:i/>
          <w:iCs/>
          <w:color w:val="777777"/>
        </w:rPr>
        <w:t>a logic</w:t>
      </w:r>
      <w:proofErr w:type="gramEnd"/>
      <w:r w:rsidRPr="00D95B19">
        <w:rPr>
          <w:i/>
          <w:iCs/>
          <w:color w:val="777777"/>
        </w:rPr>
        <w:t xml:space="preserve"> of experimentation to </w:t>
      </w:r>
      <w:proofErr w:type="gramStart"/>
      <w:r w:rsidRPr="00D95B19">
        <w:rPr>
          <w:i/>
          <w:iCs/>
          <w:color w:val="777777"/>
        </w:rPr>
        <w:t>a logic</w:t>
      </w:r>
      <w:proofErr w:type="gramEnd"/>
      <w:r w:rsidRPr="00D95B19">
        <w:rPr>
          <w:i/>
          <w:iCs/>
          <w:color w:val="777777"/>
        </w:rPr>
        <w:t xml:space="preserve"> of impact: making electric trucks accessible, reliable, and viable for logistics transport players. ENGIE </w:t>
      </w:r>
      <w:proofErr w:type="spellStart"/>
      <w:r w:rsidRPr="00D95B19">
        <w:rPr>
          <w:i/>
          <w:iCs/>
          <w:color w:val="777777"/>
        </w:rPr>
        <w:t>Vianeo’s</w:t>
      </w:r>
      <w:proofErr w:type="spellEnd"/>
      <w:r w:rsidRPr="00D95B19">
        <w:rPr>
          <w:i/>
          <w:iCs/>
          <w:color w:val="777777"/>
        </w:rPr>
        <w:t xml:space="preserve"> role is to create the concrete conditions for this shift,</w:t>
      </w:r>
      <w:r w:rsidRPr="00D95B19">
        <w:rPr>
          <w:color w:val="777777"/>
        </w:rPr>
        <w:t xml:space="preserve">" </w:t>
      </w:r>
      <w:r w:rsidRPr="00D95B19">
        <w:rPr>
          <w:b/>
          <w:bCs/>
          <w:color w:val="777777"/>
        </w:rPr>
        <w:t>declares Didier Liautaud, Managing Director France of ENGIE Vianeo</w:t>
      </w:r>
      <w:r w:rsidR="00D95B19">
        <w:rPr>
          <w:color w:val="777777"/>
        </w:rPr>
        <w:t>.</w:t>
      </w:r>
    </w:p>
    <w:p w14:paraId="202B53E9" w14:textId="77777777" w:rsidR="00B33012" w:rsidRDefault="00B33012" w:rsidP="00D95B19">
      <w:pPr>
        <w:pStyle w:val="Corpsdetexte"/>
        <w:ind w:right="581"/>
      </w:pPr>
    </w:p>
    <w:p w14:paraId="202B53EA" w14:textId="77777777" w:rsidR="00B33012" w:rsidRDefault="00B33012" w:rsidP="00D95B19">
      <w:pPr>
        <w:pStyle w:val="Corpsdetexte"/>
        <w:ind w:right="581"/>
      </w:pPr>
    </w:p>
    <w:p w14:paraId="202B53EB" w14:textId="77777777" w:rsidR="00B33012" w:rsidRDefault="00B33012" w:rsidP="00D95B19">
      <w:pPr>
        <w:pStyle w:val="Corpsdetexte"/>
        <w:spacing w:before="11"/>
        <w:ind w:right="581"/>
      </w:pPr>
    </w:p>
    <w:p w14:paraId="30B71E06" w14:textId="77777777" w:rsidR="009E723F" w:rsidRPr="009E723F" w:rsidRDefault="00000000" w:rsidP="009E723F">
      <w:pPr>
        <w:widowControl/>
        <w:autoSpaceDE/>
        <w:autoSpaceDN/>
        <w:jc w:val="both"/>
        <w:rPr>
          <w:rFonts w:eastAsia="Calibri"/>
          <w:b/>
          <w:bCs/>
          <w:color w:val="00AAFF"/>
          <w:kern w:val="2"/>
          <w14:ligatures w14:val="standardContextual"/>
        </w:rPr>
      </w:pPr>
      <w:r w:rsidRPr="009E723F">
        <w:rPr>
          <w:rFonts w:eastAsia="Calibri"/>
          <w:b/>
          <w:bCs/>
          <w:color w:val="00AAFF"/>
          <w:kern w:val="2"/>
          <w14:ligatures w14:val="standardContextual"/>
        </w:rPr>
        <w:t>Press Contact:</w:t>
      </w:r>
    </w:p>
    <w:p w14:paraId="202B53ED" w14:textId="6BCCF3F0" w:rsidR="00B33012" w:rsidRPr="009E723F" w:rsidRDefault="00000000" w:rsidP="009E723F">
      <w:pPr>
        <w:widowControl/>
        <w:autoSpaceDE/>
        <w:autoSpaceDN/>
        <w:jc w:val="both"/>
        <w:rPr>
          <w:rFonts w:eastAsia="Calibri"/>
          <w:b/>
          <w:bCs/>
          <w:color w:val="00AAFF"/>
          <w:kern w:val="2"/>
          <w14:ligatures w14:val="standardContextual"/>
        </w:rPr>
      </w:pPr>
      <w:r w:rsidRPr="009E723F">
        <w:rPr>
          <w:rFonts w:eastAsia="Calibri"/>
          <w:b/>
          <w:bCs/>
          <w:color w:val="00AAFF"/>
          <w:kern w:val="2"/>
          <w14:ligatures w14:val="standardContextual"/>
        </w:rPr>
        <w:t xml:space="preserve">ENGIE Vianeo: </w:t>
      </w:r>
      <w:r w:rsidRPr="009E723F">
        <w:rPr>
          <w:color w:val="777777"/>
        </w:rPr>
        <w:t xml:space="preserve">Alix GERMAIN – 07 64 44 74 36 </w:t>
      </w:r>
      <w:r w:rsidR="00637200" w:rsidRPr="009E723F">
        <w:rPr>
          <w:color w:val="777777"/>
        </w:rPr>
        <w:t>–</w:t>
      </w:r>
      <w:r w:rsidRPr="009E723F">
        <w:rPr>
          <w:color w:val="777777"/>
        </w:rPr>
        <w:t xml:space="preserve"> </w:t>
      </w:r>
      <w:hyperlink r:id="rId9">
        <w:r w:rsidRPr="009E723F">
          <w:rPr>
            <w:color w:val="777777"/>
          </w:rPr>
          <w:t>alix.germain@external.engie.com</w:t>
        </w:r>
      </w:hyperlink>
    </w:p>
    <w:p w14:paraId="202B53EE" w14:textId="77777777" w:rsidR="00B33012" w:rsidRPr="009E723F" w:rsidRDefault="00B33012" w:rsidP="009870EB">
      <w:pPr>
        <w:pStyle w:val="Corpsdetexte"/>
        <w:spacing w:before="25"/>
        <w:ind w:right="581"/>
        <w:jc w:val="both"/>
      </w:pPr>
    </w:p>
    <w:p w14:paraId="5ADE1E9D" w14:textId="77777777" w:rsidR="009870EB" w:rsidRPr="003E13F1" w:rsidRDefault="00000000" w:rsidP="009870EB">
      <w:pPr>
        <w:pStyle w:val="Corpsdetexte"/>
        <w:spacing w:line="276" w:lineRule="auto"/>
        <w:ind w:left="23" w:right="581"/>
        <w:jc w:val="both"/>
        <w:rPr>
          <w:b/>
          <w:color w:val="4985E8"/>
          <w:sz w:val="18"/>
          <w:szCs w:val="18"/>
        </w:rPr>
      </w:pPr>
      <w:r w:rsidRPr="003E13F1">
        <w:rPr>
          <w:rFonts w:eastAsia="Calibri"/>
          <w:b/>
          <w:bCs/>
          <w:color w:val="00AAFF"/>
          <w:kern w:val="2"/>
          <w:sz w:val="18"/>
          <w:szCs w:val="18"/>
          <w:lang w:val="fr-FR"/>
          <w14:ligatures w14:val="standardContextual"/>
        </w:rPr>
        <w:t>About ENGIE Vianeo</w:t>
      </w:r>
      <w:r w:rsidRPr="003E13F1">
        <w:rPr>
          <w:b/>
          <w:color w:val="4985E8"/>
          <w:sz w:val="18"/>
          <w:szCs w:val="18"/>
        </w:rPr>
        <w:t xml:space="preserve"> </w:t>
      </w:r>
    </w:p>
    <w:p w14:paraId="32B8DA07" w14:textId="77777777" w:rsidR="00F522B3" w:rsidRDefault="00000000" w:rsidP="00F522B3">
      <w:pPr>
        <w:pStyle w:val="Corpsdetexte"/>
        <w:spacing w:line="276" w:lineRule="auto"/>
        <w:ind w:left="23" w:right="581"/>
        <w:jc w:val="both"/>
        <w:rPr>
          <w:i/>
          <w:iCs/>
          <w:color w:val="777777"/>
          <w:sz w:val="18"/>
          <w:szCs w:val="18"/>
        </w:rPr>
      </w:pPr>
      <w:r w:rsidRPr="003E13F1">
        <w:rPr>
          <w:i/>
          <w:iCs/>
          <w:color w:val="777777"/>
          <w:sz w:val="18"/>
          <w:szCs w:val="18"/>
        </w:rPr>
        <w:t>ENGIE Vianeo is the ENGIE Group brand dedicated to electric mobility. Our fast and ultra-fast stations are accessible on motorways, in cities, and in hotel and shopping center car parks. Charge your electric vehicle easily, both for daily use and long trips, thanks to a reliable, easy-to-use solution with transparent prices. ENGIE Vianeo also develops infrastructure for heavy goods vehicles with the first charging network on the Lyon–Paris axis. With more than 10,000 charging points in Europe, including 890 on French motorways and over 6,000 in Belgium, our network combines fast stations (up to 480 kW) and slow stations to meet all needs, from daily use to long journeys. With a loyalty program open to all and free of charge, a dedicated app, and tailor-made services, ENGIE Vianeo allows you to recharge your electric vehicle with peace of mind and accelerates the energy transition. ENGIE Vianeo – Shall we drive together?</w:t>
      </w:r>
    </w:p>
    <w:p w14:paraId="202B53F0" w14:textId="48FD2673" w:rsidR="00B33012" w:rsidRPr="00F522B3" w:rsidRDefault="00000000" w:rsidP="00F522B3">
      <w:pPr>
        <w:pStyle w:val="Corpsdetexte"/>
        <w:spacing w:line="276" w:lineRule="auto"/>
        <w:ind w:left="23" w:right="581"/>
        <w:jc w:val="both"/>
        <w:rPr>
          <w:i/>
          <w:iCs/>
          <w:color w:val="777777"/>
          <w:sz w:val="18"/>
          <w:szCs w:val="18"/>
        </w:rPr>
      </w:pPr>
      <w:r w:rsidRPr="00F522B3">
        <w:rPr>
          <w:i/>
          <w:iCs/>
          <w:color w:val="777777"/>
          <w:sz w:val="18"/>
          <w:szCs w:val="18"/>
        </w:rPr>
        <w:t>To learn more:</w:t>
      </w:r>
      <w:r w:rsidRPr="009870EB">
        <w:rPr>
          <w:color w:val="777777"/>
        </w:rPr>
        <w:t xml:space="preserve"> </w:t>
      </w:r>
      <w:hyperlink r:id="rId10">
        <w:r w:rsidRPr="00F522B3">
          <w:rPr>
            <w:color w:val="1154CC"/>
            <w:sz w:val="18"/>
            <w:szCs w:val="18"/>
            <w:u w:val="single" w:color="1154CC"/>
          </w:rPr>
          <w:t>https://www.engie-</w:t>
        </w:r>
        <w:r w:rsidRPr="00F522B3">
          <w:rPr>
            <w:color w:val="1154CC"/>
            <w:spacing w:val="-2"/>
            <w:sz w:val="18"/>
            <w:szCs w:val="18"/>
            <w:u w:val="single" w:color="1154CC"/>
          </w:rPr>
          <w:t>vianeo.com/</w:t>
        </w:r>
      </w:hyperlink>
    </w:p>
    <w:sectPr w:rsidR="00B33012" w:rsidRPr="00F522B3">
      <w:pgSz w:w="11920" w:h="16840"/>
      <w:pgMar w:top="1360" w:right="1133"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9114A"/>
    <w:multiLevelType w:val="hybridMultilevel"/>
    <w:tmpl w:val="F09A0632"/>
    <w:lvl w:ilvl="0" w:tplc="199E311C">
      <w:numFmt w:val="bullet"/>
      <w:lvlText w:val="●"/>
      <w:lvlJc w:val="left"/>
      <w:pPr>
        <w:ind w:left="743" w:hanging="360"/>
      </w:pPr>
      <w:rPr>
        <w:rFonts w:ascii="Arial" w:eastAsia="Arial" w:hAnsi="Arial" w:cs="Arial" w:hint="default"/>
        <w:b w:val="0"/>
        <w:bCs w:val="0"/>
        <w:i w:val="0"/>
        <w:iCs w:val="0"/>
        <w:spacing w:val="0"/>
        <w:w w:val="100"/>
        <w:sz w:val="22"/>
        <w:szCs w:val="22"/>
        <w:lang w:val="en-US" w:eastAsia="en-US" w:bidi="ar-SA"/>
      </w:rPr>
    </w:lvl>
    <w:lvl w:ilvl="1" w:tplc="8E748EDC">
      <w:numFmt w:val="bullet"/>
      <w:lvlText w:val="•"/>
      <w:lvlJc w:val="left"/>
      <w:pPr>
        <w:ind w:left="1603" w:hanging="360"/>
      </w:pPr>
      <w:rPr>
        <w:rFonts w:hint="default"/>
        <w:lang w:val="en-US" w:eastAsia="en-US" w:bidi="ar-SA"/>
      </w:rPr>
    </w:lvl>
    <w:lvl w:ilvl="2" w:tplc="FB22113C">
      <w:numFmt w:val="bullet"/>
      <w:lvlText w:val="•"/>
      <w:lvlJc w:val="left"/>
      <w:pPr>
        <w:ind w:left="2466" w:hanging="360"/>
      </w:pPr>
      <w:rPr>
        <w:rFonts w:hint="default"/>
        <w:lang w:val="en-US" w:eastAsia="en-US" w:bidi="ar-SA"/>
      </w:rPr>
    </w:lvl>
    <w:lvl w:ilvl="3" w:tplc="86AC1114">
      <w:numFmt w:val="bullet"/>
      <w:lvlText w:val="•"/>
      <w:lvlJc w:val="left"/>
      <w:pPr>
        <w:ind w:left="3329" w:hanging="360"/>
      </w:pPr>
      <w:rPr>
        <w:rFonts w:hint="default"/>
        <w:lang w:val="en-US" w:eastAsia="en-US" w:bidi="ar-SA"/>
      </w:rPr>
    </w:lvl>
    <w:lvl w:ilvl="4" w:tplc="6B90DEFC">
      <w:numFmt w:val="bullet"/>
      <w:lvlText w:val="•"/>
      <w:lvlJc w:val="left"/>
      <w:pPr>
        <w:ind w:left="4192" w:hanging="360"/>
      </w:pPr>
      <w:rPr>
        <w:rFonts w:hint="default"/>
        <w:lang w:val="en-US" w:eastAsia="en-US" w:bidi="ar-SA"/>
      </w:rPr>
    </w:lvl>
    <w:lvl w:ilvl="5" w:tplc="1F160F98">
      <w:numFmt w:val="bullet"/>
      <w:lvlText w:val="•"/>
      <w:lvlJc w:val="left"/>
      <w:pPr>
        <w:ind w:left="5055" w:hanging="360"/>
      </w:pPr>
      <w:rPr>
        <w:rFonts w:hint="default"/>
        <w:lang w:val="en-US" w:eastAsia="en-US" w:bidi="ar-SA"/>
      </w:rPr>
    </w:lvl>
    <w:lvl w:ilvl="6" w:tplc="BD281A78">
      <w:numFmt w:val="bullet"/>
      <w:lvlText w:val="•"/>
      <w:lvlJc w:val="left"/>
      <w:pPr>
        <w:ind w:left="5918" w:hanging="360"/>
      </w:pPr>
      <w:rPr>
        <w:rFonts w:hint="default"/>
        <w:lang w:val="en-US" w:eastAsia="en-US" w:bidi="ar-SA"/>
      </w:rPr>
    </w:lvl>
    <w:lvl w:ilvl="7" w:tplc="D9CC28DA">
      <w:numFmt w:val="bullet"/>
      <w:lvlText w:val="•"/>
      <w:lvlJc w:val="left"/>
      <w:pPr>
        <w:ind w:left="6781" w:hanging="360"/>
      </w:pPr>
      <w:rPr>
        <w:rFonts w:hint="default"/>
        <w:lang w:val="en-US" w:eastAsia="en-US" w:bidi="ar-SA"/>
      </w:rPr>
    </w:lvl>
    <w:lvl w:ilvl="8" w:tplc="8288264A">
      <w:numFmt w:val="bullet"/>
      <w:lvlText w:val="•"/>
      <w:lvlJc w:val="left"/>
      <w:pPr>
        <w:ind w:left="7644" w:hanging="360"/>
      </w:pPr>
      <w:rPr>
        <w:rFonts w:hint="default"/>
        <w:lang w:val="en-US" w:eastAsia="en-US" w:bidi="ar-SA"/>
      </w:rPr>
    </w:lvl>
  </w:abstractNum>
  <w:abstractNum w:abstractNumId="1" w15:restartNumberingAfterBreak="0">
    <w:nsid w:val="70000323"/>
    <w:multiLevelType w:val="hybridMultilevel"/>
    <w:tmpl w:val="1D54A252"/>
    <w:lvl w:ilvl="0" w:tplc="9DBCC2D2">
      <w:numFmt w:val="bullet"/>
      <w:lvlText w:val="●"/>
      <w:lvlJc w:val="left"/>
      <w:pPr>
        <w:ind w:left="743" w:hanging="360"/>
      </w:pPr>
      <w:rPr>
        <w:rFonts w:ascii="Arial" w:eastAsia="Arial" w:hAnsi="Arial" w:cs="Arial" w:hint="default"/>
        <w:b w:val="0"/>
        <w:bCs w:val="0"/>
        <w:i w:val="0"/>
        <w:iCs w:val="0"/>
        <w:spacing w:val="0"/>
        <w:w w:val="100"/>
        <w:sz w:val="22"/>
        <w:szCs w:val="22"/>
        <w:lang w:val="en-US" w:eastAsia="en-US" w:bidi="ar-SA"/>
      </w:rPr>
    </w:lvl>
    <w:lvl w:ilvl="1" w:tplc="7CFEC162">
      <w:numFmt w:val="bullet"/>
      <w:lvlText w:val="•"/>
      <w:lvlJc w:val="left"/>
      <w:pPr>
        <w:ind w:left="1603" w:hanging="360"/>
      </w:pPr>
      <w:rPr>
        <w:rFonts w:hint="default"/>
        <w:lang w:val="en-US" w:eastAsia="en-US" w:bidi="ar-SA"/>
      </w:rPr>
    </w:lvl>
    <w:lvl w:ilvl="2" w:tplc="5434AA5A">
      <w:numFmt w:val="bullet"/>
      <w:lvlText w:val="•"/>
      <w:lvlJc w:val="left"/>
      <w:pPr>
        <w:ind w:left="2466" w:hanging="360"/>
      </w:pPr>
      <w:rPr>
        <w:rFonts w:hint="default"/>
        <w:lang w:val="en-US" w:eastAsia="en-US" w:bidi="ar-SA"/>
      </w:rPr>
    </w:lvl>
    <w:lvl w:ilvl="3" w:tplc="A9ACA1EE">
      <w:numFmt w:val="bullet"/>
      <w:lvlText w:val="•"/>
      <w:lvlJc w:val="left"/>
      <w:pPr>
        <w:ind w:left="3329" w:hanging="360"/>
      </w:pPr>
      <w:rPr>
        <w:rFonts w:hint="default"/>
        <w:lang w:val="en-US" w:eastAsia="en-US" w:bidi="ar-SA"/>
      </w:rPr>
    </w:lvl>
    <w:lvl w:ilvl="4" w:tplc="A100E6C0">
      <w:numFmt w:val="bullet"/>
      <w:lvlText w:val="•"/>
      <w:lvlJc w:val="left"/>
      <w:pPr>
        <w:ind w:left="4192" w:hanging="360"/>
      </w:pPr>
      <w:rPr>
        <w:rFonts w:hint="default"/>
        <w:lang w:val="en-US" w:eastAsia="en-US" w:bidi="ar-SA"/>
      </w:rPr>
    </w:lvl>
    <w:lvl w:ilvl="5" w:tplc="09266BC0">
      <w:numFmt w:val="bullet"/>
      <w:lvlText w:val="•"/>
      <w:lvlJc w:val="left"/>
      <w:pPr>
        <w:ind w:left="5055" w:hanging="360"/>
      </w:pPr>
      <w:rPr>
        <w:rFonts w:hint="default"/>
        <w:lang w:val="en-US" w:eastAsia="en-US" w:bidi="ar-SA"/>
      </w:rPr>
    </w:lvl>
    <w:lvl w:ilvl="6" w:tplc="077A5280">
      <w:numFmt w:val="bullet"/>
      <w:lvlText w:val="•"/>
      <w:lvlJc w:val="left"/>
      <w:pPr>
        <w:ind w:left="5918" w:hanging="360"/>
      </w:pPr>
      <w:rPr>
        <w:rFonts w:hint="default"/>
        <w:lang w:val="en-US" w:eastAsia="en-US" w:bidi="ar-SA"/>
      </w:rPr>
    </w:lvl>
    <w:lvl w:ilvl="7" w:tplc="78247FC4">
      <w:numFmt w:val="bullet"/>
      <w:lvlText w:val="•"/>
      <w:lvlJc w:val="left"/>
      <w:pPr>
        <w:ind w:left="6781" w:hanging="360"/>
      </w:pPr>
      <w:rPr>
        <w:rFonts w:hint="default"/>
        <w:lang w:val="en-US" w:eastAsia="en-US" w:bidi="ar-SA"/>
      </w:rPr>
    </w:lvl>
    <w:lvl w:ilvl="8" w:tplc="EF9E1184">
      <w:numFmt w:val="bullet"/>
      <w:lvlText w:val="•"/>
      <w:lvlJc w:val="left"/>
      <w:pPr>
        <w:ind w:left="7644" w:hanging="360"/>
      </w:pPr>
      <w:rPr>
        <w:rFonts w:hint="default"/>
        <w:lang w:val="en-US" w:eastAsia="en-US" w:bidi="ar-SA"/>
      </w:rPr>
    </w:lvl>
  </w:abstractNum>
  <w:num w:numId="1" w16cid:durableId="2026511791">
    <w:abstractNumId w:val="1"/>
  </w:num>
  <w:num w:numId="2" w16cid:durableId="1435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23D29"/>
    <w:rsid w:val="000F1825"/>
    <w:rsid w:val="001D7B03"/>
    <w:rsid w:val="00224D92"/>
    <w:rsid w:val="00323D29"/>
    <w:rsid w:val="003E13F1"/>
    <w:rsid w:val="00411A4B"/>
    <w:rsid w:val="00637200"/>
    <w:rsid w:val="00676719"/>
    <w:rsid w:val="00816532"/>
    <w:rsid w:val="00860FAF"/>
    <w:rsid w:val="0092321F"/>
    <w:rsid w:val="009870EB"/>
    <w:rsid w:val="009E723F"/>
    <w:rsid w:val="00A964C4"/>
    <w:rsid w:val="00B33012"/>
    <w:rsid w:val="00BF3397"/>
    <w:rsid w:val="00BF375D"/>
    <w:rsid w:val="00D801CD"/>
    <w:rsid w:val="00D95B19"/>
    <w:rsid w:val="00E105AD"/>
    <w:rsid w:val="00ED5DD4"/>
    <w:rsid w:val="00F522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53CC"/>
  <w15:docId w15:val="{37E4EFB6-7549-4162-B752-42DB314F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ind w:left="23"/>
      <w:outlineLvl w:val="0"/>
    </w:pPr>
    <w:rPr>
      <w:b/>
      <w:bCs/>
      <w:sz w:val="46"/>
      <w:szCs w:val="46"/>
    </w:rPr>
  </w:style>
  <w:style w:type="paragraph" w:styleId="Titre2">
    <w:name w:val="heading 2"/>
    <w:basedOn w:val="Normal"/>
    <w:uiPriority w:val="9"/>
    <w:unhideWhenUsed/>
    <w:qFormat/>
    <w:pPr>
      <w:ind w:left="23"/>
      <w:outlineLvl w:val="1"/>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743" w:right="51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ngie-vianeo.com/" TargetMode="External"/><Relationship Id="rId4" Type="http://schemas.openxmlformats.org/officeDocument/2006/relationships/numbering" Target="numbering.xml"/><Relationship Id="rId9" Type="http://schemas.openxmlformats.org/officeDocument/2006/relationships/hyperlink" Target="mailto:alix.germain@external.en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414aeb-8349-4e5e-8bd0-3001b00aae50" xsi:nil="true"/>
    <lcf76f155ced4ddcb4097134ff3c332f xmlns="ffa8366b-1fec-472f-8b8e-d20a28bc54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1285B0A1A73C4EBBAFDEBD0C21A2CB" ma:contentTypeVersion="16" ma:contentTypeDescription="Crée un document." ma:contentTypeScope="" ma:versionID="c0e66eadbcffc783db10cd6bd6141ea9">
  <xsd:schema xmlns:xsd="http://www.w3.org/2001/XMLSchema" xmlns:xs="http://www.w3.org/2001/XMLSchema" xmlns:p="http://schemas.microsoft.com/office/2006/metadata/properties" xmlns:ns2="ffa8366b-1fec-472f-8b8e-d20a28bc54c3" xmlns:ns3="3f414aeb-8349-4e5e-8bd0-3001b00aae50" targetNamespace="http://schemas.microsoft.com/office/2006/metadata/properties" ma:root="true" ma:fieldsID="0c2fed3697e8881af4a04934db923acf" ns2:_="" ns3:_="">
    <xsd:import namespace="ffa8366b-1fec-472f-8b8e-d20a28bc54c3"/>
    <xsd:import namespace="3f414aeb-8349-4e5e-8bd0-3001b00aa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366b-1fec-472f-8b8e-d20a28bc5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5131ca70-e78c-4466-b824-5ec585b2f07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14aeb-8349-4e5e-8bd0-3001b00aae50"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f8b0bb20-b4c2-4190-9e1b-d5f7e26f7700}" ma:internalName="TaxCatchAll" ma:showField="CatchAllData" ma:web="3f414aeb-8349-4e5e-8bd0-3001b00aa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9A5D7-F05D-4322-9A41-30130D2B5047}">
  <ds:schemaRefs>
    <ds:schemaRef ds:uri="http://schemas.microsoft.com/office/2006/metadata/properties"/>
    <ds:schemaRef ds:uri="http://schemas.microsoft.com/office/infopath/2007/PartnerControls"/>
    <ds:schemaRef ds:uri="3f414aeb-8349-4e5e-8bd0-3001b00aae50"/>
    <ds:schemaRef ds:uri="ffa8366b-1fec-472f-8b8e-d20a28bc54c3"/>
  </ds:schemaRefs>
</ds:datastoreItem>
</file>

<file path=customXml/itemProps2.xml><?xml version="1.0" encoding="utf-8"?>
<ds:datastoreItem xmlns:ds="http://schemas.openxmlformats.org/officeDocument/2006/customXml" ds:itemID="{BD2A3719-1FA4-40A8-B6EA-18DD7398CBB2}">
  <ds:schemaRefs>
    <ds:schemaRef ds:uri="http://schemas.microsoft.com/sharepoint/v3/contenttype/forms"/>
  </ds:schemaRefs>
</ds:datastoreItem>
</file>

<file path=customXml/itemProps3.xml><?xml version="1.0" encoding="utf-8"?>
<ds:datastoreItem xmlns:ds="http://schemas.openxmlformats.org/officeDocument/2006/customXml" ds:itemID="{B57B9BED-FC73-4393-ACE3-E4A558FED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366b-1fec-472f-8b8e-d20a28bc54c3"/>
    <ds:schemaRef ds:uri="3f414aeb-8349-4e5e-8bd0-3001b00aa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4494</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ENGIE Vianeo X Windrose. ENG </dc:title>
  <cp:lastModifiedBy>Alix GERMAIN</cp:lastModifiedBy>
  <cp:revision>20</cp:revision>
  <dcterms:created xsi:type="dcterms:W3CDTF">2026-03-19T16:18:00Z</dcterms:created>
  <dcterms:modified xsi:type="dcterms:W3CDTF">2026-03-19T16:32:00Z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Producer">
    <vt:lpwstr>Skia/PDF m148 Google Docs Renderer</vt:lpwstr>
  </property>
  <property fmtid="{D5CDD505-2E9C-101B-9397-08002B2CF9AE}" pid="4" name="LastSaved">
    <vt:filetime>2026-03-19T00:00:00Z</vt:filetime>
  </property>
  <property fmtid="{D5CDD505-2E9C-101B-9397-08002B2CF9AE}" pid="5" name="ContentTypeId">
    <vt:lpwstr>0x010100491285B0A1A73C4EBBAFDEBD0C21A2CB</vt:lpwstr>
  </property>
</Properties>
</file>